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A80952" w:rsidP="00E92A72">
      <w:pPr>
        <w:pStyle w:val="Default"/>
        <w:rPr>
          <w:lang w:val="es-DO"/>
        </w:rPr>
      </w:pPr>
      <w:r w:rsidRPr="00073FA8">
        <w:rPr>
          <w:noProof/>
          <w:lang w:val="en-US"/>
        </w:rPr>
        <w:drawing>
          <wp:anchor distT="0" distB="0" distL="114300" distR="114300" simplePos="0" relativeHeight="251658240" behindDoc="0" locked="0" layoutInCell="1" allowOverlap="1">
            <wp:simplePos x="0" y="0"/>
            <wp:positionH relativeFrom="column">
              <wp:posOffset>2105025</wp:posOffset>
            </wp:positionH>
            <wp:positionV relativeFrom="paragraph">
              <wp:posOffset>135890</wp:posOffset>
            </wp:positionV>
            <wp:extent cx="2124710" cy="2112010"/>
            <wp:effectExtent l="19050" t="0" r="8890" b="0"/>
            <wp:wrapSquare wrapText="bothSides"/>
            <wp:docPr id="1" name="irc_mi" descr="http://www.crepdom.gov.do/system/assets/images/230/big/LOGO%20FON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epdom.gov.do/system/assets/images/230/big/LOGO%20FONPER.jpg"/>
                    <pic:cNvPicPr>
                      <a:picLocks noChangeAspect="1" noChangeArrowheads="1"/>
                    </pic:cNvPicPr>
                  </pic:nvPicPr>
                  <pic:blipFill>
                    <a:blip r:embed="rId8" cstate="print"/>
                    <a:srcRect/>
                    <a:stretch>
                      <a:fillRect/>
                    </a:stretch>
                  </pic:blipFill>
                  <pic:spPr bwMode="auto">
                    <a:xfrm>
                      <a:off x="0" y="0"/>
                      <a:ext cx="2124710" cy="2112010"/>
                    </a:xfrm>
                    <a:prstGeom prst="rect">
                      <a:avLst/>
                    </a:prstGeom>
                    <a:noFill/>
                    <a:ln w="9525">
                      <a:noFill/>
                      <a:miter lim="800000"/>
                      <a:headEnd/>
                      <a:tailEnd/>
                    </a:ln>
                  </pic:spPr>
                </pic:pic>
              </a:graphicData>
            </a:graphic>
          </wp:anchor>
        </w:drawing>
      </w: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A80952" w:rsidRPr="00073FA8" w:rsidRDefault="00A80952" w:rsidP="00E92A72">
      <w:pPr>
        <w:pStyle w:val="Default"/>
        <w:rPr>
          <w:lang w:val="es-DO"/>
        </w:rPr>
      </w:pPr>
    </w:p>
    <w:p w:rsidR="00A80952" w:rsidRPr="00073FA8" w:rsidRDefault="00A8095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rPr>
          <w:lang w:val="es-DO"/>
        </w:rPr>
      </w:pPr>
    </w:p>
    <w:p w:rsidR="00E92A72" w:rsidRPr="00073FA8" w:rsidRDefault="00E92A72" w:rsidP="00E92A72">
      <w:pPr>
        <w:pStyle w:val="Default"/>
        <w:spacing w:line="276" w:lineRule="auto"/>
        <w:jc w:val="center"/>
        <w:rPr>
          <w:lang w:val="es-DO"/>
        </w:rPr>
      </w:pPr>
    </w:p>
    <w:p w:rsidR="00E92A72" w:rsidRPr="00073FA8" w:rsidRDefault="00E92A72" w:rsidP="00E92A72">
      <w:pPr>
        <w:pStyle w:val="Default"/>
        <w:spacing w:line="276" w:lineRule="auto"/>
        <w:jc w:val="center"/>
        <w:rPr>
          <w:lang w:val="es-DO"/>
        </w:rPr>
      </w:pPr>
      <w:r w:rsidRPr="00073FA8">
        <w:rPr>
          <w:lang w:val="es-DO"/>
        </w:rPr>
        <w:t>FONDO PATRIMONIAL DE LAS EMPRESAS REFORMADAS</w:t>
      </w:r>
    </w:p>
    <w:p w:rsidR="00E92A72" w:rsidRPr="00073FA8" w:rsidRDefault="00E92A72" w:rsidP="00E92A72">
      <w:pPr>
        <w:pStyle w:val="Default"/>
        <w:spacing w:line="276" w:lineRule="auto"/>
        <w:jc w:val="center"/>
        <w:rPr>
          <w:b/>
          <w:bCs/>
          <w:i/>
          <w:iCs/>
          <w:sz w:val="23"/>
          <w:szCs w:val="23"/>
          <w:lang w:val="es-DO"/>
        </w:rPr>
      </w:pPr>
      <w:r w:rsidRPr="00073FA8">
        <w:rPr>
          <w:b/>
          <w:bCs/>
          <w:i/>
          <w:iCs/>
          <w:sz w:val="23"/>
          <w:szCs w:val="23"/>
          <w:lang w:val="es-DO"/>
        </w:rPr>
        <w:t>“</w:t>
      </w:r>
      <w:r w:rsidR="00313B4C" w:rsidRPr="00073FA8">
        <w:rPr>
          <w:b/>
          <w:bCs/>
          <w:i/>
          <w:iCs/>
          <w:sz w:val="23"/>
          <w:szCs w:val="23"/>
          <w:lang w:val="es-DO"/>
        </w:rPr>
        <w:t>AÑO DE</w:t>
      </w:r>
      <w:r w:rsidR="008F7479" w:rsidRPr="00073FA8">
        <w:rPr>
          <w:b/>
          <w:bCs/>
          <w:i/>
          <w:iCs/>
          <w:sz w:val="23"/>
          <w:szCs w:val="23"/>
          <w:lang w:val="es-DO"/>
        </w:rPr>
        <w:t>L DESARROLLO AGROFORESTAL</w:t>
      </w:r>
      <w:r w:rsidRPr="00073FA8">
        <w:rPr>
          <w:b/>
          <w:bCs/>
          <w:i/>
          <w:iCs/>
          <w:sz w:val="23"/>
          <w:szCs w:val="23"/>
          <w:lang w:val="es-DO"/>
        </w:rPr>
        <w:t>”</w:t>
      </w:r>
    </w:p>
    <w:p w:rsidR="00A80952" w:rsidRPr="00073FA8" w:rsidRDefault="00A80952" w:rsidP="00A80952">
      <w:pPr>
        <w:pStyle w:val="Default"/>
        <w:rPr>
          <w:b/>
          <w:bCs/>
          <w:i/>
          <w:iCs/>
          <w:sz w:val="23"/>
          <w:szCs w:val="23"/>
          <w:lang w:val="es-DO"/>
        </w:rPr>
      </w:pPr>
    </w:p>
    <w:p w:rsidR="00E92A72" w:rsidRPr="00073FA8" w:rsidRDefault="00E92A72" w:rsidP="00A80952">
      <w:pPr>
        <w:pStyle w:val="Default"/>
        <w:rPr>
          <w:b/>
          <w:bCs/>
          <w:i/>
          <w:iCs/>
          <w:sz w:val="23"/>
          <w:szCs w:val="23"/>
          <w:lang w:val="es-DO"/>
        </w:rPr>
      </w:pPr>
    </w:p>
    <w:p w:rsidR="00E92A72" w:rsidRPr="00073FA8" w:rsidRDefault="00E92A72" w:rsidP="00E92A72">
      <w:pPr>
        <w:pStyle w:val="Default"/>
        <w:jc w:val="center"/>
        <w:rPr>
          <w:sz w:val="23"/>
          <w:szCs w:val="23"/>
          <w:lang w:val="es-DO"/>
        </w:rPr>
      </w:pPr>
    </w:p>
    <w:p w:rsidR="00E92A72" w:rsidRPr="00073FA8" w:rsidRDefault="00E92A72" w:rsidP="00E92A72">
      <w:pPr>
        <w:pStyle w:val="Default"/>
        <w:spacing w:line="276" w:lineRule="auto"/>
        <w:jc w:val="center"/>
        <w:rPr>
          <w:sz w:val="44"/>
          <w:szCs w:val="44"/>
          <w:lang w:val="es-DO"/>
        </w:rPr>
      </w:pPr>
      <w:r w:rsidRPr="00073FA8">
        <w:rPr>
          <w:b/>
          <w:bCs/>
          <w:i/>
          <w:iCs/>
          <w:sz w:val="44"/>
          <w:szCs w:val="44"/>
          <w:lang w:val="es-DO"/>
        </w:rPr>
        <w:t>ESTADISTICAS Y BALANCES DE LA OFICINA DE LIBRE ACCESO A LA INFORMACION</w:t>
      </w:r>
    </w:p>
    <w:p w:rsidR="00E92A72" w:rsidRPr="00073FA8" w:rsidRDefault="00985D2C" w:rsidP="00E92A72">
      <w:pPr>
        <w:pStyle w:val="Default"/>
        <w:spacing w:line="276" w:lineRule="auto"/>
        <w:jc w:val="center"/>
        <w:rPr>
          <w:b/>
          <w:bCs/>
          <w:i/>
          <w:iCs/>
          <w:sz w:val="44"/>
          <w:szCs w:val="44"/>
          <w:lang w:val="es-DO"/>
        </w:rPr>
      </w:pPr>
      <w:r w:rsidRPr="00073FA8">
        <w:rPr>
          <w:b/>
          <w:bCs/>
          <w:i/>
          <w:iCs/>
          <w:sz w:val="44"/>
          <w:szCs w:val="44"/>
          <w:lang w:val="es-DO"/>
        </w:rPr>
        <w:t>AÑO 201</w:t>
      </w:r>
      <w:r w:rsidR="00B57B22" w:rsidRPr="00073FA8">
        <w:rPr>
          <w:b/>
          <w:bCs/>
          <w:i/>
          <w:iCs/>
          <w:sz w:val="44"/>
          <w:szCs w:val="44"/>
          <w:lang w:val="es-DO"/>
        </w:rPr>
        <w:t>7</w:t>
      </w:r>
      <w:r w:rsidR="00E92A72" w:rsidRPr="00073FA8">
        <w:rPr>
          <w:b/>
          <w:bCs/>
          <w:i/>
          <w:iCs/>
          <w:sz w:val="44"/>
          <w:szCs w:val="44"/>
          <w:lang w:val="es-DO"/>
        </w:rPr>
        <w:t>.</w:t>
      </w:r>
    </w:p>
    <w:p w:rsidR="00BA3C21" w:rsidRPr="00073FA8" w:rsidRDefault="00BA3C21" w:rsidP="00E92A72">
      <w:pPr>
        <w:pStyle w:val="Default"/>
        <w:spacing w:line="276" w:lineRule="auto"/>
        <w:jc w:val="center"/>
        <w:rPr>
          <w:b/>
          <w:bCs/>
          <w:i/>
          <w:iCs/>
          <w:sz w:val="44"/>
          <w:szCs w:val="44"/>
          <w:lang w:val="es-DO"/>
        </w:rPr>
      </w:pPr>
    </w:p>
    <w:p w:rsidR="00BA3C21" w:rsidRPr="00073FA8" w:rsidRDefault="00BA3C21" w:rsidP="00E92A72">
      <w:pPr>
        <w:pStyle w:val="Default"/>
        <w:spacing w:line="276" w:lineRule="auto"/>
        <w:jc w:val="center"/>
        <w:rPr>
          <w:b/>
          <w:bCs/>
          <w:i/>
          <w:iCs/>
          <w:sz w:val="44"/>
          <w:szCs w:val="44"/>
          <w:lang w:val="es-DO"/>
        </w:rPr>
      </w:pPr>
    </w:p>
    <w:tbl>
      <w:tblPr>
        <w:tblStyle w:val="Listaclara-nfasis3"/>
        <w:tblW w:w="9640" w:type="dxa"/>
        <w:tblBorders>
          <w:top w:val="double" w:sz="4" w:space="0" w:color="9BBB59" w:themeColor="accent3"/>
          <w:left w:val="double" w:sz="4" w:space="0" w:color="9BBB59" w:themeColor="accent3"/>
          <w:bottom w:val="double" w:sz="4" w:space="0" w:color="9BBB59" w:themeColor="accent3"/>
          <w:right w:val="double" w:sz="4" w:space="0" w:color="9BBB59" w:themeColor="accent3"/>
          <w:insideH w:val="double" w:sz="4" w:space="0" w:color="9BBB59" w:themeColor="accent3"/>
          <w:insideV w:val="single" w:sz="4" w:space="0" w:color="auto"/>
        </w:tblBorders>
        <w:tblLook w:val="04A0"/>
      </w:tblPr>
      <w:tblGrid>
        <w:gridCol w:w="1900"/>
        <w:gridCol w:w="1220"/>
        <w:gridCol w:w="1400"/>
        <w:gridCol w:w="1280"/>
        <w:gridCol w:w="1280"/>
        <w:gridCol w:w="1280"/>
        <w:gridCol w:w="1280"/>
      </w:tblGrid>
      <w:tr w:rsidR="00BA3C21" w:rsidRPr="00073FA8" w:rsidTr="00073FA8">
        <w:trPr>
          <w:cnfStyle w:val="100000000000"/>
          <w:trHeight w:val="390"/>
        </w:trPr>
        <w:tc>
          <w:tcPr>
            <w:cnfStyle w:val="001000000000"/>
            <w:tcW w:w="9640" w:type="dxa"/>
            <w:gridSpan w:val="7"/>
            <w:noWrap/>
            <w:hideMark/>
          </w:tcPr>
          <w:p w:rsidR="003E06BC" w:rsidRPr="003E06BC" w:rsidRDefault="00BA3C21" w:rsidP="00CA5437">
            <w:pPr>
              <w:jc w:val="center"/>
              <w:rPr>
                <w:rFonts w:ascii="Calibri" w:eastAsia="Times New Roman" w:hAnsi="Calibri" w:cs="Times New Roman"/>
                <w:bCs w:val="0"/>
                <w:color w:val="000000"/>
                <w:lang w:val="es-DO"/>
              </w:rPr>
            </w:pPr>
            <w:r w:rsidRPr="00073FA8">
              <w:rPr>
                <w:rFonts w:ascii="Calibri" w:eastAsia="Times New Roman" w:hAnsi="Calibri" w:cs="Times New Roman"/>
                <w:bCs w:val="0"/>
                <w:color w:val="000000"/>
                <w:lang w:val="es-DO"/>
              </w:rPr>
              <w:t>Respuestas</w:t>
            </w:r>
            <w:r w:rsidR="007853A1" w:rsidRPr="00073FA8">
              <w:rPr>
                <w:rFonts w:ascii="Calibri" w:eastAsia="Times New Roman" w:hAnsi="Calibri" w:cs="Times New Roman"/>
                <w:bCs w:val="0"/>
                <w:color w:val="000000"/>
                <w:lang w:val="es-DO"/>
              </w:rPr>
              <w:t xml:space="preserve"> </w:t>
            </w:r>
            <w:r w:rsidR="00073FA8" w:rsidRPr="00073FA8">
              <w:rPr>
                <w:rFonts w:ascii="Calibri" w:eastAsia="Times New Roman" w:hAnsi="Calibri" w:cs="Times New Roman"/>
                <w:bCs w:val="0"/>
                <w:color w:val="000000"/>
                <w:lang w:val="es-DO"/>
              </w:rPr>
              <w:t xml:space="preserve">a solicitudes </w:t>
            </w:r>
            <w:r w:rsidR="007853A1" w:rsidRPr="00073FA8">
              <w:rPr>
                <w:rFonts w:ascii="Calibri" w:eastAsia="Times New Roman" w:hAnsi="Calibri" w:cs="Times New Roman"/>
                <w:bCs w:val="0"/>
                <w:color w:val="000000"/>
                <w:lang w:val="es-DO"/>
              </w:rPr>
              <w:t xml:space="preserve">del mes de </w:t>
            </w:r>
            <w:r w:rsidR="00CA5437">
              <w:rPr>
                <w:rFonts w:ascii="Calibri" w:eastAsia="Times New Roman" w:hAnsi="Calibri" w:cs="Times New Roman"/>
                <w:bCs w:val="0"/>
                <w:color w:val="000000"/>
                <w:lang w:val="es-DO"/>
              </w:rPr>
              <w:t>Noviembre</w:t>
            </w:r>
          </w:p>
        </w:tc>
      </w:tr>
      <w:tr w:rsidR="00BA3C21" w:rsidRPr="00BA3C21" w:rsidTr="00073FA8">
        <w:trPr>
          <w:cnfStyle w:val="000000100000"/>
          <w:trHeight w:val="270"/>
        </w:trPr>
        <w:tc>
          <w:tcPr>
            <w:cnfStyle w:val="001000000000"/>
            <w:tcW w:w="1900" w:type="dxa"/>
            <w:tcBorders>
              <w:top w:val="none" w:sz="0" w:space="0" w:color="auto"/>
              <w:left w:val="none" w:sz="0" w:space="0" w:color="auto"/>
              <w:bottom w:val="none" w:sz="0" w:space="0" w:color="auto"/>
            </w:tcBorders>
            <w:noWrap/>
            <w:hideMark/>
          </w:tcPr>
          <w:p w:rsidR="00BA3C21" w:rsidRPr="00BA3C21" w:rsidRDefault="00BA3C21" w:rsidP="00073FA8">
            <w:pPr>
              <w:jc w:val="right"/>
              <w:rPr>
                <w:rFonts w:ascii="Calibri" w:eastAsia="Times New Roman" w:hAnsi="Calibri" w:cs="Times New Roman"/>
                <w:color w:val="000000"/>
                <w:lang w:val="es-DO"/>
              </w:rPr>
            </w:pPr>
          </w:p>
        </w:tc>
        <w:tc>
          <w:tcPr>
            <w:tcW w:w="1220" w:type="dxa"/>
            <w:tcBorders>
              <w:top w:val="none" w:sz="0" w:space="0" w:color="auto"/>
              <w:bottom w:val="none" w:sz="0" w:space="0" w:color="auto"/>
            </w:tcBorders>
            <w:noWrap/>
            <w:hideMark/>
          </w:tcPr>
          <w:p w:rsidR="00BA3C21" w:rsidRPr="00BA3C21" w:rsidRDefault="00BA3C21" w:rsidP="00073FA8">
            <w:pPr>
              <w:jc w:val="right"/>
              <w:cnfStyle w:val="000000100000"/>
              <w:rPr>
                <w:rFonts w:ascii="Calibri" w:eastAsia="Times New Roman" w:hAnsi="Calibri" w:cs="Times New Roman"/>
                <w:color w:val="000000"/>
                <w:lang w:val="es-DO"/>
              </w:rPr>
            </w:pPr>
          </w:p>
        </w:tc>
        <w:tc>
          <w:tcPr>
            <w:tcW w:w="1400" w:type="dxa"/>
            <w:tcBorders>
              <w:top w:val="none" w:sz="0" w:space="0" w:color="auto"/>
              <w:bottom w:val="none" w:sz="0" w:space="0" w:color="auto"/>
            </w:tcBorders>
            <w:noWrap/>
            <w:hideMark/>
          </w:tcPr>
          <w:p w:rsidR="00BA3C21" w:rsidRPr="00BA3C21" w:rsidRDefault="00BA3C21" w:rsidP="00073FA8">
            <w:pPr>
              <w:jc w:val="right"/>
              <w:cnfStyle w:val="000000100000"/>
              <w:rPr>
                <w:rFonts w:ascii="Calibri" w:eastAsia="Times New Roman" w:hAnsi="Calibri" w:cs="Times New Roman"/>
                <w:color w:val="000000"/>
                <w:lang w:val="es-DO"/>
              </w:rPr>
            </w:pPr>
          </w:p>
        </w:tc>
        <w:tc>
          <w:tcPr>
            <w:tcW w:w="2560" w:type="dxa"/>
            <w:gridSpan w:val="2"/>
            <w:tcBorders>
              <w:top w:val="none" w:sz="0" w:space="0" w:color="auto"/>
              <w:bottom w:val="none" w:sz="0" w:space="0" w:color="auto"/>
            </w:tcBorders>
            <w:noWrap/>
            <w:hideMark/>
          </w:tcPr>
          <w:p w:rsidR="00BA3C21" w:rsidRPr="00BA3C21" w:rsidRDefault="00BA3C21" w:rsidP="00073FA8">
            <w:pPr>
              <w:jc w:val="center"/>
              <w:cnfStyle w:val="0000001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Resueltas</w:t>
            </w:r>
          </w:p>
        </w:tc>
        <w:tc>
          <w:tcPr>
            <w:tcW w:w="2560" w:type="dxa"/>
            <w:gridSpan w:val="2"/>
            <w:tcBorders>
              <w:top w:val="none" w:sz="0" w:space="0" w:color="auto"/>
              <w:bottom w:val="none" w:sz="0" w:space="0" w:color="auto"/>
              <w:right w:val="none" w:sz="0" w:space="0" w:color="auto"/>
            </w:tcBorders>
            <w:noWrap/>
            <w:hideMark/>
          </w:tcPr>
          <w:p w:rsidR="00BA3C21" w:rsidRPr="00BA3C21" w:rsidRDefault="00BA3C21" w:rsidP="00073FA8">
            <w:pPr>
              <w:jc w:val="center"/>
              <w:cnfStyle w:val="0000001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Rechazadas</w:t>
            </w:r>
          </w:p>
        </w:tc>
      </w:tr>
      <w:tr w:rsidR="00BA3C21" w:rsidRPr="00BA3C21" w:rsidTr="00073FA8">
        <w:trPr>
          <w:trHeight w:val="255"/>
        </w:trPr>
        <w:tc>
          <w:tcPr>
            <w:cnfStyle w:val="001000000000"/>
            <w:tcW w:w="1900" w:type="dxa"/>
            <w:noWrap/>
            <w:hideMark/>
          </w:tcPr>
          <w:p w:rsidR="00BA3C21" w:rsidRPr="00BA3C21" w:rsidRDefault="00BA3C21" w:rsidP="00073FA8">
            <w:pPr>
              <w:jc w:val="right"/>
              <w:rPr>
                <w:rFonts w:ascii="Calibri" w:eastAsia="Times New Roman" w:hAnsi="Calibri" w:cs="Times New Roman"/>
                <w:color w:val="000000"/>
                <w:lang w:val="es-DO"/>
              </w:rPr>
            </w:pPr>
            <w:r w:rsidRPr="00BA3C21">
              <w:rPr>
                <w:rFonts w:ascii="Calibri" w:eastAsia="Times New Roman" w:hAnsi="Calibri" w:cs="Times New Roman"/>
                <w:color w:val="000000"/>
                <w:lang w:val="es-DO"/>
              </w:rPr>
              <w:t xml:space="preserve">Medio de solicitud </w:t>
            </w:r>
          </w:p>
        </w:tc>
        <w:tc>
          <w:tcPr>
            <w:tcW w:w="1220" w:type="dxa"/>
            <w:noWrap/>
            <w:hideMark/>
          </w:tcPr>
          <w:p w:rsidR="00BA3C21" w:rsidRPr="00BA3C21" w:rsidRDefault="00BA3C21" w:rsidP="00073FA8">
            <w:pPr>
              <w:jc w:val="right"/>
              <w:cnfStyle w:val="0000000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 xml:space="preserve">Recibidas </w:t>
            </w:r>
          </w:p>
        </w:tc>
        <w:tc>
          <w:tcPr>
            <w:tcW w:w="1400" w:type="dxa"/>
            <w:noWrap/>
            <w:hideMark/>
          </w:tcPr>
          <w:p w:rsidR="00BA3C21" w:rsidRPr="00BA3C21" w:rsidRDefault="00BA3C21" w:rsidP="00073FA8">
            <w:pPr>
              <w:jc w:val="right"/>
              <w:cnfStyle w:val="0000000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 xml:space="preserve">Pendientes </w:t>
            </w:r>
          </w:p>
        </w:tc>
        <w:tc>
          <w:tcPr>
            <w:tcW w:w="1280" w:type="dxa"/>
            <w:noWrap/>
            <w:hideMark/>
          </w:tcPr>
          <w:p w:rsidR="00BA3C21" w:rsidRPr="00BA3C21" w:rsidRDefault="00BA3C21" w:rsidP="00073FA8">
            <w:pPr>
              <w:jc w:val="right"/>
              <w:cnfStyle w:val="0000000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 xml:space="preserve">&lt; 5 </w:t>
            </w:r>
            <w:r w:rsidR="00073FA8" w:rsidRPr="00BA3C21">
              <w:rPr>
                <w:rFonts w:ascii="Calibri" w:eastAsia="Times New Roman" w:hAnsi="Calibri" w:cs="Times New Roman"/>
                <w:b/>
                <w:bCs/>
                <w:color w:val="000000"/>
                <w:lang w:val="es-DO"/>
              </w:rPr>
              <w:t>días</w:t>
            </w:r>
          </w:p>
        </w:tc>
        <w:tc>
          <w:tcPr>
            <w:tcW w:w="1280" w:type="dxa"/>
            <w:noWrap/>
            <w:hideMark/>
          </w:tcPr>
          <w:p w:rsidR="00BA3C21" w:rsidRPr="00BA3C21" w:rsidRDefault="00BA3C21" w:rsidP="00073FA8">
            <w:pPr>
              <w:jc w:val="right"/>
              <w:cnfStyle w:val="0000000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 xml:space="preserve">5 </w:t>
            </w:r>
            <w:r w:rsidR="00073FA8" w:rsidRPr="00BA3C21">
              <w:rPr>
                <w:rFonts w:ascii="Calibri" w:eastAsia="Times New Roman" w:hAnsi="Calibri" w:cs="Times New Roman"/>
                <w:b/>
                <w:bCs/>
                <w:color w:val="000000"/>
                <w:lang w:val="es-DO"/>
              </w:rPr>
              <w:t>días</w:t>
            </w:r>
            <w:r w:rsidRPr="00BA3C21">
              <w:rPr>
                <w:rFonts w:ascii="Calibri" w:eastAsia="Times New Roman" w:hAnsi="Calibri" w:cs="Times New Roman"/>
                <w:b/>
                <w:bCs/>
                <w:color w:val="000000"/>
                <w:lang w:val="es-DO"/>
              </w:rPr>
              <w:t xml:space="preserve"> &gt;</w:t>
            </w:r>
          </w:p>
        </w:tc>
        <w:tc>
          <w:tcPr>
            <w:tcW w:w="1280" w:type="dxa"/>
            <w:noWrap/>
            <w:hideMark/>
          </w:tcPr>
          <w:p w:rsidR="00BA3C21" w:rsidRPr="00BA3C21" w:rsidRDefault="00BA3C21" w:rsidP="00073FA8">
            <w:pPr>
              <w:jc w:val="right"/>
              <w:cnfStyle w:val="0000000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 xml:space="preserve">&lt; 5 </w:t>
            </w:r>
            <w:r w:rsidR="00073FA8" w:rsidRPr="00BA3C21">
              <w:rPr>
                <w:rFonts w:ascii="Calibri" w:eastAsia="Times New Roman" w:hAnsi="Calibri" w:cs="Times New Roman"/>
                <w:b/>
                <w:bCs/>
                <w:color w:val="000000"/>
                <w:lang w:val="es-DO"/>
              </w:rPr>
              <w:t>días</w:t>
            </w:r>
          </w:p>
        </w:tc>
        <w:tc>
          <w:tcPr>
            <w:tcW w:w="1280" w:type="dxa"/>
            <w:noWrap/>
            <w:hideMark/>
          </w:tcPr>
          <w:p w:rsidR="00BA3C21" w:rsidRPr="00BA3C21" w:rsidRDefault="00BA3C21" w:rsidP="00073FA8">
            <w:pPr>
              <w:jc w:val="right"/>
              <w:cnfStyle w:val="0000000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 xml:space="preserve">5 </w:t>
            </w:r>
            <w:r w:rsidR="00073FA8" w:rsidRPr="00BA3C21">
              <w:rPr>
                <w:rFonts w:ascii="Calibri" w:eastAsia="Times New Roman" w:hAnsi="Calibri" w:cs="Times New Roman"/>
                <w:b/>
                <w:bCs/>
                <w:color w:val="000000"/>
                <w:lang w:val="es-DO"/>
              </w:rPr>
              <w:t>días</w:t>
            </w:r>
            <w:r w:rsidRPr="00BA3C21">
              <w:rPr>
                <w:rFonts w:ascii="Calibri" w:eastAsia="Times New Roman" w:hAnsi="Calibri" w:cs="Times New Roman"/>
                <w:b/>
                <w:bCs/>
                <w:color w:val="000000"/>
                <w:lang w:val="es-DO"/>
              </w:rPr>
              <w:t xml:space="preserve"> &gt;</w:t>
            </w:r>
          </w:p>
        </w:tc>
      </w:tr>
      <w:tr w:rsidR="00073FA8" w:rsidRPr="00073FA8" w:rsidTr="00073FA8">
        <w:trPr>
          <w:cnfStyle w:val="000000100000"/>
          <w:trHeight w:val="300"/>
        </w:trPr>
        <w:tc>
          <w:tcPr>
            <w:cnfStyle w:val="001000000000"/>
            <w:tcW w:w="1900" w:type="dxa"/>
            <w:noWrap/>
            <w:hideMark/>
          </w:tcPr>
          <w:p w:rsidR="00BA3C21" w:rsidRPr="00BA3C21" w:rsidRDefault="00073FA8" w:rsidP="00073FA8">
            <w:pPr>
              <w:jc w:val="right"/>
              <w:rPr>
                <w:rFonts w:ascii="Calibri" w:eastAsia="Times New Roman" w:hAnsi="Calibri" w:cs="Times New Roman"/>
                <w:color w:val="000000"/>
                <w:lang w:val="es-DO"/>
              </w:rPr>
            </w:pPr>
            <w:r w:rsidRPr="00BA3C21">
              <w:rPr>
                <w:rFonts w:ascii="Calibri" w:eastAsia="Times New Roman" w:hAnsi="Calibri" w:cs="Times New Roman"/>
                <w:color w:val="000000"/>
                <w:lang w:val="es-DO"/>
              </w:rPr>
              <w:t>Física</w:t>
            </w:r>
          </w:p>
        </w:tc>
        <w:tc>
          <w:tcPr>
            <w:tcW w:w="1220" w:type="dxa"/>
            <w:noWrap/>
            <w:hideMark/>
          </w:tcPr>
          <w:p w:rsidR="00BA3C21" w:rsidRPr="00BA3C21" w:rsidRDefault="00525BA0" w:rsidP="00073FA8">
            <w:pPr>
              <w:jc w:val="right"/>
              <w:cnfStyle w:val="000000100000"/>
              <w:rPr>
                <w:rFonts w:ascii="Calibri" w:eastAsia="Times New Roman" w:hAnsi="Calibri" w:cs="Times New Roman"/>
                <w:b/>
                <w:bCs/>
                <w:color w:val="000000"/>
                <w:lang w:val="es-DO"/>
              </w:rPr>
            </w:pPr>
            <w:r>
              <w:rPr>
                <w:rFonts w:ascii="Calibri" w:eastAsia="Times New Roman" w:hAnsi="Calibri" w:cs="Times New Roman"/>
                <w:b/>
                <w:bCs/>
                <w:color w:val="000000"/>
                <w:lang w:val="es-DO"/>
              </w:rPr>
              <w:t>0</w:t>
            </w:r>
          </w:p>
        </w:tc>
        <w:tc>
          <w:tcPr>
            <w:tcW w:w="1400" w:type="dxa"/>
            <w:noWrap/>
            <w:hideMark/>
          </w:tcPr>
          <w:p w:rsidR="00BA3C21" w:rsidRPr="00BA3C21" w:rsidRDefault="00BA3C21" w:rsidP="0001157B">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1157B">
              <w:rPr>
                <w:rFonts w:ascii="Calibri" w:eastAsia="Times New Roman" w:hAnsi="Calibri" w:cs="Times New Roman"/>
                <w:b/>
                <w:color w:val="000000"/>
                <w:lang w:val="es-DO"/>
              </w:rPr>
              <w:t>0</w:t>
            </w:r>
          </w:p>
        </w:tc>
        <w:tc>
          <w:tcPr>
            <w:tcW w:w="1280" w:type="dxa"/>
            <w:noWrap/>
            <w:hideMark/>
          </w:tcPr>
          <w:p w:rsidR="00BA3C21" w:rsidRPr="00BA3C21" w:rsidRDefault="00344E27" w:rsidP="003E06BC">
            <w:pPr>
              <w:jc w:val="right"/>
              <w:cnfStyle w:val="000000100000"/>
              <w:rPr>
                <w:rFonts w:ascii="Calibri" w:eastAsia="Times New Roman" w:hAnsi="Calibri" w:cs="Times New Roman"/>
                <w:b/>
                <w:color w:val="000000"/>
                <w:lang w:val="es-DO"/>
              </w:rPr>
            </w:pPr>
            <w:r>
              <w:rPr>
                <w:rFonts w:ascii="Calibri" w:eastAsia="Times New Roman" w:hAnsi="Calibri" w:cs="Times New Roman"/>
                <w:b/>
                <w:color w:val="000000"/>
                <w:lang w:val="es-DO"/>
              </w:rPr>
              <w:t>0</w:t>
            </w:r>
          </w:p>
        </w:tc>
        <w:tc>
          <w:tcPr>
            <w:tcW w:w="1280" w:type="dxa"/>
            <w:noWrap/>
            <w:hideMark/>
          </w:tcPr>
          <w:p w:rsidR="00BA3C21" w:rsidRPr="00BA3C21" w:rsidRDefault="00525BA0" w:rsidP="00073FA8">
            <w:pPr>
              <w:jc w:val="right"/>
              <w:cnfStyle w:val="000000100000"/>
              <w:rPr>
                <w:rFonts w:ascii="Calibri" w:eastAsia="Times New Roman" w:hAnsi="Calibri" w:cs="Times New Roman"/>
                <w:b/>
                <w:color w:val="000000"/>
                <w:lang w:val="es-DO"/>
              </w:rPr>
            </w:pPr>
            <w:r>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r>
      <w:tr w:rsidR="00BA3C21" w:rsidRPr="00BA3C21" w:rsidTr="00073FA8">
        <w:trPr>
          <w:trHeight w:val="300"/>
        </w:trPr>
        <w:tc>
          <w:tcPr>
            <w:cnfStyle w:val="001000000000"/>
            <w:tcW w:w="1900" w:type="dxa"/>
            <w:noWrap/>
            <w:hideMark/>
          </w:tcPr>
          <w:p w:rsidR="00BA3C21" w:rsidRPr="00BA3C21" w:rsidRDefault="00CA5437" w:rsidP="00073FA8">
            <w:pPr>
              <w:jc w:val="right"/>
              <w:rPr>
                <w:rFonts w:ascii="Calibri" w:eastAsia="Times New Roman" w:hAnsi="Calibri" w:cs="Times New Roman"/>
                <w:color w:val="000000"/>
                <w:lang w:val="es-DO"/>
              </w:rPr>
            </w:pPr>
            <w:r>
              <w:rPr>
                <w:rFonts w:ascii="Calibri" w:eastAsia="Times New Roman" w:hAnsi="Calibri" w:cs="Times New Roman"/>
                <w:color w:val="000000"/>
                <w:lang w:val="es-DO"/>
              </w:rPr>
              <w:t>SAIP</w:t>
            </w:r>
          </w:p>
        </w:tc>
        <w:tc>
          <w:tcPr>
            <w:tcW w:w="1220" w:type="dxa"/>
            <w:noWrap/>
            <w:hideMark/>
          </w:tcPr>
          <w:p w:rsidR="00BA3C21" w:rsidRPr="00BA3C21" w:rsidRDefault="00525BA0" w:rsidP="00073FA8">
            <w:pPr>
              <w:jc w:val="right"/>
              <w:cnfStyle w:val="000000000000"/>
              <w:rPr>
                <w:rFonts w:ascii="Calibri" w:eastAsia="Times New Roman" w:hAnsi="Calibri" w:cs="Times New Roman"/>
                <w:b/>
                <w:bCs/>
                <w:color w:val="000000"/>
                <w:lang w:val="es-DO"/>
              </w:rPr>
            </w:pPr>
            <w:r>
              <w:rPr>
                <w:rFonts w:ascii="Calibri" w:eastAsia="Times New Roman" w:hAnsi="Calibri" w:cs="Times New Roman"/>
                <w:b/>
                <w:bCs/>
                <w:color w:val="000000"/>
                <w:lang w:val="es-DO"/>
              </w:rPr>
              <w:t>1</w:t>
            </w:r>
          </w:p>
        </w:tc>
        <w:tc>
          <w:tcPr>
            <w:tcW w:w="140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525BA0" w:rsidP="00073FA8">
            <w:pPr>
              <w:jc w:val="right"/>
              <w:cnfStyle w:val="000000000000"/>
              <w:rPr>
                <w:rFonts w:ascii="Calibri" w:eastAsia="Times New Roman" w:hAnsi="Calibri" w:cs="Times New Roman"/>
                <w:b/>
                <w:color w:val="000000"/>
                <w:lang w:val="es-DO"/>
              </w:rPr>
            </w:pPr>
            <w:r>
              <w:rPr>
                <w:rFonts w:ascii="Calibri" w:eastAsia="Times New Roman" w:hAnsi="Calibri" w:cs="Times New Roman"/>
                <w:b/>
                <w:color w:val="000000"/>
                <w:lang w:val="es-DO"/>
              </w:rPr>
              <w:t>1</w:t>
            </w:r>
          </w:p>
        </w:tc>
        <w:tc>
          <w:tcPr>
            <w:tcW w:w="1280" w:type="dxa"/>
            <w:noWrap/>
            <w:hideMark/>
          </w:tcPr>
          <w:p w:rsidR="00BA3C21" w:rsidRPr="00BA3C21" w:rsidRDefault="00344E27" w:rsidP="00073FA8">
            <w:pPr>
              <w:jc w:val="right"/>
              <w:cnfStyle w:val="000000000000"/>
              <w:rPr>
                <w:rFonts w:ascii="Calibri" w:eastAsia="Times New Roman" w:hAnsi="Calibri" w:cs="Times New Roman"/>
                <w:b/>
                <w:color w:val="000000"/>
                <w:lang w:val="es-DO"/>
              </w:rPr>
            </w:pPr>
            <w:r>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r>
      <w:tr w:rsidR="00073FA8" w:rsidRPr="00073FA8" w:rsidTr="00073FA8">
        <w:trPr>
          <w:cnfStyle w:val="000000100000"/>
          <w:trHeight w:val="300"/>
        </w:trPr>
        <w:tc>
          <w:tcPr>
            <w:cnfStyle w:val="001000000000"/>
            <w:tcW w:w="1900" w:type="dxa"/>
            <w:noWrap/>
            <w:hideMark/>
          </w:tcPr>
          <w:p w:rsidR="00BA3C21" w:rsidRPr="00BA3C21" w:rsidRDefault="00BA3C21" w:rsidP="00073FA8">
            <w:pPr>
              <w:jc w:val="right"/>
              <w:rPr>
                <w:rFonts w:ascii="Calibri" w:eastAsia="Times New Roman" w:hAnsi="Calibri" w:cs="Times New Roman"/>
                <w:color w:val="000000"/>
                <w:lang w:val="es-DO"/>
              </w:rPr>
            </w:pPr>
            <w:r w:rsidRPr="00BA3C21">
              <w:rPr>
                <w:rFonts w:ascii="Calibri" w:eastAsia="Times New Roman" w:hAnsi="Calibri" w:cs="Times New Roman"/>
                <w:color w:val="000000"/>
                <w:lang w:val="es-DO"/>
              </w:rPr>
              <w:t>311</w:t>
            </w:r>
          </w:p>
        </w:tc>
        <w:tc>
          <w:tcPr>
            <w:tcW w:w="1220" w:type="dxa"/>
            <w:noWrap/>
            <w:hideMark/>
          </w:tcPr>
          <w:p w:rsidR="00BA3C21" w:rsidRPr="00BA3C21" w:rsidRDefault="00BA3C21" w:rsidP="00073FA8">
            <w:pPr>
              <w:jc w:val="right"/>
              <w:cnfStyle w:val="0000001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0</w:t>
            </w:r>
          </w:p>
        </w:tc>
        <w:tc>
          <w:tcPr>
            <w:tcW w:w="1400" w:type="dxa"/>
            <w:noWrap/>
            <w:hideMark/>
          </w:tcPr>
          <w:p w:rsidR="00BA3C21" w:rsidRPr="00BA3C21" w:rsidRDefault="00BA3C21" w:rsidP="00073FA8">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1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r>
      <w:tr w:rsidR="00BA3C21" w:rsidRPr="00BA3C21" w:rsidTr="00073FA8">
        <w:trPr>
          <w:trHeight w:val="315"/>
        </w:trPr>
        <w:tc>
          <w:tcPr>
            <w:cnfStyle w:val="001000000000"/>
            <w:tcW w:w="1900" w:type="dxa"/>
            <w:noWrap/>
            <w:hideMark/>
          </w:tcPr>
          <w:p w:rsidR="00BA3C21" w:rsidRPr="00BA3C21" w:rsidRDefault="00BA3C21" w:rsidP="00073FA8">
            <w:pPr>
              <w:jc w:val="right"/>
              <w:rPr>
                <w:rFonts w:ascii="Calibri" w:eastAsia="Times New Roman" w:hAnsi="Calibri" w:cs="Times New Roman"/>
                <w:color w:val="000000"/>
                <w:lang w:val="es-DO"/>
              </w:rPr>
            </w:pPr>
            <w:r w:rsidRPr="00BA3C21">
              <w:rPr>
                <w:rFonts w:ascii="Calibri" w:eastAsia="Times New Roman" w:hAnsi="Calibri" w:cs="Times New Roman"/>
                <w:color w:val="000000"/>
                <w:lang w:val="es-DO"/>
              </w:rPr>
              <w:t>Otra</w:t>
            </w:r>
          </w:p>
        </w:tc>
        <w:tc>
          <w:tcPr>
            <w:tcW w:w="1220" w:type="dxa"/>
            <w:noWrap/>
            <w:hideMark/>
          </w:tcPr>
          <w:p w:rsidR="00BA3C21" w:rsidRPr="00BA3C21" w:rsidRDefault="00BA3C21" w:rsidP="00073FA8">
            <w:pPr>
              <w:jc w:val="right"/>
              <w:cnfStyle w:val="000000000000"/>
              <w:rPr>
                <w:rFonts w:ascii="Calibri" w:eastAsia="Times New Roman" w:hAnsi="Calibri" w:cs="Times New Roman"/>
                <w:b/>
                <w:bCs/>
                <w:color w:val="000000"/>
                <w:lang w:val="es-DO"/>
              </w:rPr>
            </w:pPr>
            <w:r w:rsidRPr="00BA3C21">
              <w:rPr>
                <w:rFonts w:ascii="Calibri" w:eastAsia="Times New Roman" w:hAnsi="Calibri" w:cs="Times New Roman"/>
                <w:b/>
                <w:bCs/>
                <w:color w:val="000000"/>
                <w:lang w:val="es-DO"/>
              </w:rPr>
              <w:t>0</w:t>
            </w:r>
          </w:p>
        </w:tc>
        <w:tc>
          <w:tcPr>
            <w:tcW w:w="140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c>
          <w:tcPr>
            <w:tcW w:w="1280" w:type="dxa"/>
            <w:noWrap/>
            <w:hideMark/>
          </w:tcPr>
          <w:p w:rsidR="00BA3C21" w:rsidRPr="00BA3C21" w:rsidRDefault="00BA3C21" w:rsidP="00073FA8">
            <w:pPr>
              <w:jc w:val="right"/>
              <w:cnfStyle w:val="000000000000"/>
              <w:rPr>
                <w:rFonts w:ascii="Calibri" w:eastAsia="Times New Roman" w:hAnsi="Calibri" w:cs="Times New Roman"/>
                <w:b/>
                <w:color w:val="000000"/>
                <w:lang w:val="es-DO"/>
              </w:rPr>
            </w:pPr>
            <w:r w:rsidRPr="00BA3C21">
              <w:rPr>
                <w:rFonts w:ascii="Calibri" w:eastAsia="Times New Roman" w:hAnsi="Calibri" w:cs="Times New Roman"/>
                <w:b/>
                <w:color w:val="000000"/>
                <w:lang w:val="es-DO"/>
              </w:rPr>
              <w:t> </w:t>
            </w:r>
            <w:r w:rsidR="00073FA8" w:rsidRPr="00073FA8">
              <w:rPr>
                <w:rFonts w:ascii="Calibri" w:eastAsia="Times New Roman" w:hAnsi="Calibri" w:cs="Times New Roman"/>
                <w:b/>
                <w:color w:val="000000"/>
                <w:lang w:val="es-DO"/>
              </w:rPr>
              <w:t>0</w:t>
            </w:r>
          </w:p>
        </w:tc>
      </w:tr>
    </w:tbl>
    <w:p w:rsidR="00BA3C21" w:rsidRPr="00073FA8" w:rsidRDefault="00BA3C21" w:rsidP="00E92A72">
      <w:pPr>
        <w:pStyle w:val="Default"/>
        <w:spacing w:line="276" w:lineRule="auto"/>
        <w:jc w:val="center"/>
        <w:rPr>
          <w:sz w:val="44"/>
          <w:szCs w:val="44"/>
          <w:u w:val="single"/>
          <w:lang w:val="es-DO"/>
        </w:rPr>
      </w:pPr>
    </w:p>
    <w:p w:rsidR="00E92A72" w:rsidRPr="00073FA8" w:rsidRDefault="00E92A72" w:rsidP="00E92A72">
      <w:pPr>
        <w:pStyle w:val="Default"/>
        <w:pageBreakBefore/>
        <w:jc w:val="center"/>
        <w:rPr>
          <w:sz w:val="28"/>
          <w:szCs w:val="28"/>
          <w:lang w:val="es-DO"/>
        </w:rPr>
      </w:pPr>
      <w:r w:rsidRPr="00073FA8">
        <w:rPr>
          <w:b/>
          <w:bCs/>
          <w:i/>
          <w:iCs/>
          <w:sz w:val="28"/>
          <w:szCs w:val="28"/>
          <w:lang w:val="es-DO"/>
        </w:rPr>
        <w:lastRenderedPageBreak/>
        <w:t>PRESENTACIÓN</w:t>
      </w:r>
    </w:p>
    <w:p w:rsidR="00E92A72" w:rsidRPr="00073FA8" w:rsidRDefault="00E92A72" w:rsidP="00E92A72">
      <w:pPr>
        <w:pStyle w:val="Default"/>
        <w:jc w:val="both"/>
        <w:rPr>
          <w:sz w:val="23"/>
          <w:szCs w:val="23"/>
          <w:lang w:val="es-DO"/>
        </w:rPr>
      </w:pPr>
    </w:p>
    <w:p w:rsidR="00E92A72" w:rsidRPr="00073FA8" w:rsidRDefault="00E92A72" w:rsidP="00E92A72">
      <w:pPr>
        <w:pStyle w:val="Default"/>
        <w:jc w:val="both"/>
        <w:rPr>
          <w:sz w:val="23"/>
          <w:szCs w:val="23"/>
          <w:lang w:val="es-DO"/>
        </w:rPr>
      </w:pPr>
    </w:p>
    <w:p w:rsidR="00E92A72" w:rsidRPr="00073FA8" w:rsidRDefault="00E92A72" w:rsidP="004F7C06">
      <w:pPr>
        <w:pStyle w:val="Default"/>
        <w:spacing w:line="276" w:lineRule="auto"/>
        <w:jc w:val="both"/>
        <w:rPr>
          <w:lang w:val="es-DO"/>
        </w:rPr>
      </w:pPr>
      <w:r w:rsidRPr="00073FA8">
        <w:rPr>
          <w:lang w:val="es-DO"/>
        </w:rPr>
        <w:t>La transparencia en la administración pública constituye uno de los pilares en la rendición de cuentas del a la sociedad, permitiendo presentar a los ciudadanos de forma clara cada una de las acciones que se desarrollan a través de los programas y proyectos encaminados a contribuir al bienestar de la nación.</w:t>
      </w:r>
    </w:p>
    <w:p w:rsidR="00E92A72" w:rsidRPr="00073FA8" w:rsidRDefault="00E92A72" w:rsidP="004F7C06">
      <w:pPr>
        <w:pStyle w:val="Default"/>
        <w:spacing w:line="276" w:lineRule="auto"/>
        <w:jc w:val="both"/>
        <w:rPr>
          <w:lang w:val="es-DO"/>
        </w:rPr>
      </w:pPr>
    </w:p>
    <w:p w:rsidR="00E92A72" w:rsidRPr="00073FA8" w:rsidRDefault="00E92A72" w:rsidP="004F7C06">
      <w:pPr>
        <w:pStyle w:val="Default"/>
        <w:spacing w:line="276" w:lineRule="auto"/>
        <w:jc w:val="both"/>
        <w:rPr>
          <w:lang w:val="es-DO"/>
        </w:rPr>
      </w:pPr>
      <w:r w:rsidRPr="00073FA8">
        <w:rPr>
          <w:lang w:val="es-DO"/>
        </w:rPr>
        <w:t>Es la Ley General de Libre Acceso a la información Pública No. 200-04, uno de los instrumentos que garantizan el acceso a las informaciones del Estado Dominicano, la cual ha venido a transformar el ejercicio de todas las instituciones que le conforman, estableciendo el deber a la obligación de comunicar las acciones de sus representantes a todos los habitantes del país.</w:t>
      </w:r>
    </w:p>
    <w:p w:rsidR="00E92A72" w:rsidRPr="00073FA8" w:rsidRDefault="00E92A72" w:rsidP="004F7C06">
      <w:pPr>
        <w:pStyle w:val="Default"/>
        <w:spacing w:line="276" w:lineRule="auto"/>
        <w:jc w:val="both"/>
        <w:rPr>
          <w:lang w:val="es-DO"/>
        </w:rPr>
      </w:pPr>
    </w:p>
    <w:p w:rsidR="00E92A72" w:rsidRPr="00073FA8" w:rsidRDefault="00E92A72" w:rsidP="004F7C06">
      <w:pPr>
        <w:pStyle w:val="Default"/>
        <w:spacing w:line="276" w:lineRule="auto"/>
        <w:jc w:val="both"/>
        <w:rPr>
          <w:lang w:val="es-DO"/>
        </w:rPr>
      </w:pPr>
      <w:r w:rsidRPr="00073FA8">
        <w:rPr>
          <w:lang w:val="es-DO"/>
        </w:rPr>
        <w:t xml:space="preserve">La Oficina de Acceso a la Información, OAI, contempla en cada uno de sus planes, actividades que encaminan a la orientación y sensibilización de todos los involucrados en el Sistema del </w:t>
      </w:r>
      <w:proofErr w:type="spellStart"/>
      <w:r w:rsidRPr="00073FA8">
        <w:rPr>
          <w:lang w:val="es-DO"/>
        </w:rPr>
        <w:t>Fonper</w:t>
      </w:r>
      <w:proofErr w:type="spellEnd"/>
      <w:r w:rsidRPr="00073FA8">
        <w:rPr>
          <w:lang w:val="es-DO"/>
        </w:rPr>
        <w:t>, del marco legal dentro del Sistema de Transparencia, así como velar por el cumplimiento de las normativas que forman parte de este sistema.</w:t>
      </w:r>
    </w:p>
    <w:p w:rsidR="00E92A72" w:rsidRPr="00073FA8" w:rsidRDefault="00E92A72" w:rsidP="004F7C06">
      <w:pPr>
        <w:pStyle w:val="Default"/>
        <w:spacing w:line="276" w:lineRule="auto"/>
        <w:jc w:val="both"/>
        <w:rPr>
          <w:lang w:val="es-DO"/>
        </w:rPr>
      </w:pPr>
    </w:p>
    <w:p w:rsidR="00E92A72" w:rsidRPr="00073FA8" w:rsidRDefault="00E92A72" w:rsidP="004F7C06">
      <w:pPr>
        <w:pStyle w:val="Default"/>
        <w:spacing w:line="276" w:lineRule="auto"/>
        <w:jc w:val="both"/>
        <w:rPr>
          <w:lang w:val="es-DO"/>
        </w:rPr>
      </w:pPr>
      <w:r w:rsidRPr="00073FA8">
        <w:rPr>
          <w:lang w:val="es-DO"/>
        </w:rPr>
        <w:t>Se solicitó la designación de enlace con la OAI a l</w:t>
      </w:r>
      <w:r w:rsidR="005A70DD" w:rsidRPr="00073FA8">
        <w:rPr>
          <w:lang w:val="es-DO"/>
        </w:rPr>
        <w:t xml:space="preserve">as diferentes dependencias del </w:t>
      </w:r>
      <w:proofErr w:type="spellStart"/>
      <w:r w:rsidR="005A70DD" w:rsidRPr="00073FA8">
        <w:rPr>
          <w:lang w:val="es-DO"/>
        </w:rPr>
        <w:t>F</w:t>
      </w:r>
      <w:r w:rsidRPr="00073FA8">
        <w:rPr>
          <w:lang w:val="es-DO"/>
        </w:rPr>
        <w:t>onper</w:t>
      </w:r>
      <w:proofErr w:type="spellEnd"/>
      <w:r w:rsidRPr="00073FA8">
        <w:rPr>
          <w:lang w:val="es-DO"/>
        </w:rPr>
        <w:t>, tanto para el suministro mensual de las informaciones de carácter público que deben ser colgadas en el Portal de Transparencia, de manera que éste se mantenga actualizado, como para el seguimiento que se le debe dar a las solicitudes que son remitidas a sus áreas, en cumplimiento a los artículos 3, 4 y 5 de la Ley General de Libre Acceso a la Información Pública No. 200-04, lo que ha reducido las solicitudes de información en este año en un 92%.</w:t>
      </w:r>
    </w:p>
    <w:p w:rsidR="00E92A72" w:rsidRPr="00073FA8" w:rsidRDefault="00E92A72" w:rsidP="004F7C06">
      <w:pPr>
        <w:pStyle w:val="Default"/>
        <w:spacing w:line="276" w:lineRule="auto"/>
        <w:jc w:val="both"/>
        <w:rPr>
          <w:lang w:val="es-DO"/>
        </w:rPr>
      </w:pPr>
    </w:p>
    <w:p w:rsidR="00E92A72" w:rsidRPr="00073FA8" w:rsidRDefault="00E92A72" w:rsidP="004F7C06">
      <w:pPr>
        <w:pStyle w:val="Default"/>
        <w:spacing w:line="276" w:lineRule="auto"/>
        <w:jc w:val="both"/>
        <w:rPr>
          <w:lang w:val="es-DO"/>
        </w:rPr>
      </w:pPr>
      <w:r w:rsidRPr="00073FA8">
        <w:rPr>
          <w:lang w:val="es-DO"/>
        </w:rPr>
        <w:t>Las políticas de transparenci</w:t>
      </w:r>
      <w:r w:rsidR="005A70DD" w:rsidRPr="00073FA8">
        <w:rPr>
          <w:lang w:val="es-DO"/>
        </w:rPr>
        <w:t xml:space="preserve">a y rendición de cuentas en el </w:t>
      </w:r>
      <w:proofErr w:type="spellStart"/>
      <w:r w:rsidR="005A70DD" w:rsidRPr="00073FA8">
        <w:rPr>
          <w:lang w:val="es-DO"/>
        </w:rPr>
        <w:t>F</w:t>
      </w:r>
      <w:r w:rsidRPr="00073FA8">
        <w:rPr>
          <w:lang w:val="es-DO"/>
        </w:rPr>
        <w:t>onper</w:t>
      </w:r>
      <w:proofErr w:type="spellEnd"/>
      <w:r w:rsidRPr="00073FA8">
        <w:rPr>
          <w:lang w:val="es-DO"/>
        </w:rPr>
        <w:t xml:space="preserve"> ya son una realidad efectiva. La entrada en vigor de la ley de acceso a la información pública ha logrado transformar los procesos administrativos del </w:t>
      </w:r>
      <w:proofErr w:type="spellStart"/>
      <w:r w:rsidR="005A70DD" w:rsidRPr="00073FA8">
        <w:rPr>
          <w:lang w:val="es-DO"/>
        </w:rPr>
        <w:t>F</w:t>
      </w:r>
      <w:r w:rsidRPr="00073FA8">
        <w:rPr>
          <w:lang w:val="es-DO"/>
        </w:rPr>
        <w:t>onper</w:t>
      </w:r>
      <w:proofErr w:type="spellEnd"/>
      <w:r w:rsidRPr="00073FA8">
        <w:rPr>
          <w:lang w:val="es-DO"/>
        </w:rPr>
        <w:t xml:space="preserve"> y al mismo tiempo ha fomentado una participación cívica activa, efectiva y corresponsable de los empleados.</w:t>
      </w:r>
    </w:p>
    <w:p w:rsidR="00E92A72" w:rsidRPr="00073FA8" w:rsidRDefault="00E92A72" w:rsidP="004F7C06">
      <w:pPr>
        <w:pStyle w:val="Default"/>
        <w:spacing w:line="276" w:lineRule="auto"/>
        <w:jc w:val="both"/>
        <w:rPr>
          <w:lang w:val="es-DO"/>
        </w:rPr>
      </w:pPr>
    </w:p>
    <w:p w:rsidR="00E92A72" w:rsidRPr="00073FA8" w:rsidRDefault="005A70DD" w:rsidP="004F7C06">
      <w:pPr>
        <w:pStyle w:val="Default"/>
        <w:spacing w:line="276" w:lineRule="auto"/>
        <w:jc w:val="both"/>
        <w:rPr>
          <w:lang w:val="es-DO"/>
        </w:rPr>
      </w:pPr>
      <w:r w:rsidRPr="00073FA8">
        <w:rPr>
          <w:lang w:val="es-DO"/>
        </w:rPr>
        <w:t xml:space="preserve">En el </w:t>
      </w:r>
      <w:proofErr w:type="spellStart"/>
      <w:r w:rsidRPr="00073FA8">
        <w:rPr>
          <w:lang w:val="es-DO"/>
        </w:rPr>
        <w:t>F</w:t>
      </w:r>
      <w:r w:rsidR="00E92A72" w:rsidRPr="00073FA8">
        <w:rPr>
          <w:lang w:val="es-DO"/>
        </w:rPr>
        <w:t>onper</w:t>
      </w:r>
      <w:proofErr w:type="spellEnd"/>
      <w:r w:rsidR="00E92A72" w:rsidRPr="00073FA8">
        <w:rPr>
          <w:lang w:val="es-DO"/>
        </w:rPr>
        <w:t xml:space="preserve"> se tiene claro que la transparencia y el acceso a la información conviene porque animan a los servidores públicos </w:t>
      </w:r>
      <w:proofErr w:type="spellStart"/>
      <w:r w:rsidR="00E92A72" w:rsidRPr="00073FA8">
        <w:rPr>
          <w:lang w:val="es-DO"/>
        </w:rPr>
        <w:t>atrabajar</w:t>
      </w:r>
      <w:proofErr w:type="spellEnd"/>
      <w:r w:rsidR="00E92A72" w:rsidRPr="00073FA8">
        <w:rPr>
          <w:lang w:val="es-DO"/>
        </w:rPr>
        <w:t xml:space="preserve"> eficientemente y en apego a las normas que nos rigen. En otras palabras, nos obligan a hacer bien nuestro trabajo, gracias al cual se pueden identificar mejor las necesidades y preocupaciones de los ciudadanos.</w:t>
      </w:r>
    </w:p>
    <w:p w:rsidR="00E92A72" w:rsidRPr="00073FA8" w:rsidRDefault="00E92A72" w:rsidP="00E92A72">
      <w:pPr>
        <w:pStyle w:val="Default"/>
        <w:pageBreakBefore/>
        <w:jc w:val="center"/>
        <w:rPr>
          <w:sz w:val="28"/>
          <w:szCs w:val="28"/>
          <w:lang w:val="es-DO"/>
        </w:rPr>
      </w:pPr>
      <w:r w:rsidRPr="00073FA8">
        <w:rPr>
          <w:b/>
          <w:bCs/>
          <w:i/>
          <w:iCs/>
          <w:sz w:val="28"/>
          <w:szCs w:val="28"/>
          <w:lang w:val="es-DO"/>
        </w:rPr>
        <w:lastRenderedPageBreak/>
        <w:t>AVANCES Y LOGROS</w:t>
      </w:r>
    </w:p>
    <w:p w:rsidR="00E92A72" w:rsidRPr="00073FA8" w:rsidRDefault="00E92A72" w:rsidP="00E92A72">
      <w:pPr>
        <w:pStyle w:val="Default"/>
        <w:jc w:val="both"/>
        <w:rPr>
          <w:rFonts w:ascii="Wingdings" w:hAnsi="Wingdings" w:cs="Wingdings"/>
          <w:lang w:val="es-DO"/>
        </w:rPr>
      </w:pPr>
    </w:p>
    <w:p w:rsidR="00E92A72" w:rsidRPr="00073FA8" w:rsidRDefault="00E92A72" w:rsidP="00E92A72">
      <w:pPr>
        <w:pStyle w:val="Default"/>
        <w:jc w:val="both"/>
        <w:rPr>
          <w:rFonts w:ascii="Wingdings" w:hAnsi="Wingdings" w:cs="Wingdings"/>
          <w:lang w:val="es-DO"/>
        </w:rPr>
      </w:pPr>
    </w:p>
    <w:p w:rsidR="00E92A72" w:rsidRPr="00073FA8" w:rsidRDefault="00E92A72" w:rsidP="00C26FE1">
      <w:pPr>
        <w:pStyle w:val="Default"/>
        <w:spacing w:line="276" w:lineRule="auto"/>
        <w:ind w:left="426" w:hanging="426"/>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Se unificaron y adecuaron nuevos criterios de búsqueda para la localización de la  información por parte de los usuarios en el portal de transparencia.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Tramitamos la información dentro y fuera de la institución de forma oportuna.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Capacitación por parte de los integrantes de la OAI.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Dar el seguimiento a nuestro portal, manteniendo la información de forma actualizada.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Promover en nuestra institución la transparencia como algo elemental, fortaleciendo de esta manera la cultura de transparencia.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ind w:left="426" w:hanging="426"/>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Ampliar la cantidad de informaciones de nuestro portal para conocimiento y medio de    consulta.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Proseguir con la entrega de solicitudes de informaciones de manera oportuna.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Dar un servicio permanente en la página web. </w:t>
      </w:r>
    </w:p>
    <w:p w:rsidR="00E92A72" w:rsidRPr="00073FA8" w:rsidRDefault="00E92A72" w:rsidP="00E92A72">
      <w:pPr>
        <w:pStyle w:val="Default"/>
        <w:spacing w:line="276" w:lineRule="auto"/>
        <w:jc w:val="both"/>
        <w:rPr>
          <w:lang w:val="es-DO"/>
        </w:rPr>
      </w:pPr>
    </w:p>
    <w:p w:rsidR="00E92A72" w:rsidRPr="00073FA8" w:rsidRDefault="00E92A72" w:rsidP="00E92A72">
      <w:pPr>
        <w:pStyle w:val="Default"/>
        <w:spacing w:line="276" w:lineRule="auto"/>
        <w:ind w:left="426" w:hanging="426"/>
        <w:jc w:val="both"/>
        <w:rPr>
          <w:lang w:val="es-DO"/>
        </w:rPr>
      </w:pPr>
      <w:r w:rsidRPr="00073FA8">
        <w:rPr>
          <w:rFonts w:ascii="Wingdings" w:hAnsi="Wingdings" w:cs="Wingdings"/>
          <w:lang w:val="es-DO"/>
        </w:rPr>
        <w:t></w:t>
      </w:r>
      <w:r w:rsidRPr="00073FA8">
        <w:rPr>
          <w:rFonts w:ascii="Wingdings" w:hAnsi="Wingdings" w:cs="Wingdings"/>
          <w:lang w:val="es-DO"/>
        </w:rPr>
        <w:t></w:t>
      </w:r>
      <w:r w:rsidRPr="00073FA8">
        <w:rPr>
          <w:lang w:val="es-DO"/>
        </w:rPr>
        <w:t xml:space="preserve">Sensibilizar a los funcionarios, enlaces y colaboradores del </w:t>
      </w:r>
      <w:proofErr w:type="spellStart"/>
      <w:r w:rsidRPr="00073FA8">
        <w:rPr>
          <w:lang w:val="es-DO"/>
        </w:rPr>
        <w:t>Fonper</w:t>
      </w:r>
      <w:proofErr w:type="spellEnd"/>
      <w:r w:rsidRPr="00073FA8">
        <w:rPr>
          <w:lang w:val="es-DO"/>
        </w:rPr>
        <w:t>, de la Ley 200-04 y su reglamento.</w:t>
      </w:r>
    </w:p>
    <w:p w:rsidR="00E92A72" w:rsidRPr="00073FA8" w:rsidRDefault="005F2352" w:rsidP="003830F1">
      <w:pPr>
        <w:pStyle w:val="Default"/>
        <w:tabs>
          <w:tab w:val="left" w:pos="142"/>
        </w:tabs>
        <w:spacing w:line="276" w:lineRule="auto"/>
        <w:ind w:left="142" w:hanging="142"/>
        <w:jc w:val="both"/>
        <w:rPr>
          <w:lang w:val="es-DO"/>
        </w:rPr>
      </w:pPr>
      <w:r w:rsidRPr="00073FA8">
        <w:rPr>
          <w:lang w:val="es-DO"/>
        </w:rPr>
        <w:t>Otros</w:t>
      </w:r>
    </w:p>
    <w:p w:rsidR="005F2352" w:rsidRPr="00073FA8" w:rsidRDefault="005F2352" w:rsidP="003830F1">
      <w:pPr>
        <w:pStyle w:val="Default"/>
        <w:numPr>
          <w:ilvl w:val="0"/>
          <w:numId w:val="1"/>
        </w:numPr>
        <w:tabs>
          <w:tab w:val="left" w:pos="426"/>
        </w:tabs>
        <w:spacing w:line="276" w:lineRule="auto"/>
        <w:ind w:left="142" w:hanging="142"/>
        <w:jc w:val="both"/>
        <w:rPr>
          <w:lang w:val="es-DO"/>
        </w:rPr>
      </w:pPr>
      <w:r w:rsidRPr="00073FA8">
        <w:rPr>
          <w:lang w:val="es-DO"/>
        </w:rPr>
        <w:t>Seguimos trabajando.</w:t>
      </w:r>
    </w:p>
    <w:p w:rsidR="005F2352" w:rsidRPr="00073FA8" w:rsidRDefault="005F2352" w:rsidP="00E92A72">
      <w:pPr>
        <w:pStyle w:val="Default"/>
        <w:spacing w:line="276" w:lineRule="auto"/>
        <w:jc w:val="both"/>
        <w:rPr>
          <w:lang w:val="es-DO"/>
        </w:rPr>
      </w:pPr>
    </w:p>
    <w:p w:rsidR="003779B2" w:rsidRPr="00073FA8" w:rsidRDefault="00370AF8" w:rsidP="00E92A72">
      <w:pPr>
        <w:jc w:val="both"/>
        <w:rPr>
          <w:sz w:val="24"/>
          <w:szCs w:val="24"/>
          <w:lang w:val="es-DO"/>
        </w:rPr>
      </w:pPr>
    </w:p>
    <w:p w:rsidR="004F7C06" w:rsidRPr="00073FA8" w:rsidRDefault="004F7C06" w:rsidP="00E92A72">
      <w:pPr>
        <w:jc w:val="both"/>
        <w:rPr>
          <w:sz w:val="24"/>
          <w:szCs w:val="24"/>
          <w:lang w:val="es-DO"/>
        </w:rPr>
      </w:pPr>
    </w:p>
    <w:p w:rsidR="004F7C06" w:rsidRPr="00073FA8" w:rsidRDefault="004F7C06" w:rsidP="00E92A72">
      <w:pPr>
        <w:jc w:val="both"/>
        <w:rPr>
          <w:sz w:val="24"/>
          <w:szCs w:val="24"/>
          <w:lang w:val="es-DO"/>
        </w:rPr>
      </w:pPr>
    </w:p>
    <w:p w:rsidR="004F7C06" w:rsidRPr="00073FA8" w:rsidRDefault="004F7C06" w:rsidP="00E92A72">
      <w:pPr>
        <w:jc w:val="both"/>
        <w:rPr>
          <w:sz w:val="24"/>
          <w:szCs w:val="24"/>
          <w:lang w:val="es-DO"/>
        </w:rPr>
      </w:pPr>
    </w:p>
    <w:p w:rsidR="005F2352" w:rsidRPr="00073FA8" w:rsidRDefault="005F2352" w:rsidP="00E92A72">
      <w:pPr>
        <w:jc w:val="both"/>
        <w:rPr>
          <w:sz w:val="24"/>
          <w:szCs w:val="24"/>
          <w:lang w:val="es-DO"/>
        </w:rPr>
      </w:pPr>
    </w:p>
    <w:p w:rsidR="005F2352" w:rsidRPr="00073FA8" w:rsidRDefault="005F2352" w:rsidP="00E92A72">
      <w:pPr>
        <w:jc w:val="both"/>
        <w:rPr>
          <w:sz w:val="24"/>
          <w:szCs w:val="24"/>
          <w:lang w:val="es-DO"/>
        </w:rPr>
      </w:pPr>
    </w:p>
    <w:p w:rsidR="005F2352" w:rsidRPr="00073FA8" w:rsidRDefault="005F2352" w:rsidP="00E92A72">
      <w:pPr>
        <w:jc w:val="both"/>
        <w:rPr>
          <w:sz w:val="24"/>
          <w:szCs w:val="24"/>
          <w:lang w:val="es-DO"/>
        </w:rPr>
      </w:pPr>
    </w:p>
    <w:p w:rsidR="005F2352" w:rsidRPr="00073FA8" w:rsidRDefault="005F2352" w:rsidP="00E92A72">
      <w:pPr>
        <w:jc w:val="both"/>
        <w:rPr>
          <w:sz w:val="24"/>
          <w:szCs w:val="24"/>
          <w:lang w:val="es-DO"/>
        </w:rPr>
      </w:pPr>
    </w:p>
    <w:p w:rsidR="005F2352" w:rsidRPr="00073FA8" w:rsidRDefault="005F2352" w:rsidP="00E92A72">
      <w:pPr>
        <w:jc w:val="both"/>
        <w:rPr>
          <w:sz w:val="24"/>
          <w:szCs w:val="24"/>
          <w:lang w:val="es-DO"/>
        </w:rPr>
      </w:pPr>
    </w:p>
    <w:p w:rsidR="005F2352" w:rsidRPr="00073FA8" w:rsidRDefault="005F2352" w:rsidP="00E92A72">
      <w:pPr>
        <w:jc w:val="both"/>
        <w:rPr>
          <w:sz w:val="24"/>
          <w:szCs w:val="24"/>
          <w:lang w:val="es-DO"/>
        </w:rPr>
      </w:pPr>
    </w:p>
    <w:p w:rsidR="005F2352" w:rsidRPr="00073FA8" w:rsidRDefault="005F2352" w:rsidP="00E92A72">
      <w:pPr>
        <w:jc w:val="both"/>
        <w:rPr>
          <w:sz w:val="24"/>
          <w:szCs w:val="24"/>
          <w:lang w:val="es-DO"/>
        </w:rPr>
      </w:pPr>
    </w:p>
    <w:p w:rsidR="00D858B7" w:rsidRPr="00073FA8" w:rsidRDefault="003830F1" w:rsidP="003830F1">
      <w:pPr>
        <w:ind w:left="-142" w:right="534" w:firstLine="142"/>
        <w:jc w:val="center"/>
        <w:rPr>
          <w:b/>
          <w:sz w:val="28"/>
          <w:szCs w:val="28"/>
          <w:lang w:val="es-DO"/>
        </w:rPr>
      </w:pPr>
      <w:r w:rsidRPr="00073FA8">
        <w:rPr>
          <w:b/>
          <w:sz w:val="28"/>
          <w:szCs w:val="28"/>
          <w:lang w:val="es-DO"/>
        </w:rPr>
        <w:lastRenderedPageBreak/>
        <w:t>Grafico de Solicitudes de Información</w:t>
      </w:r>
    </w:p>
    <w:p w:rsidR="00241498" w:rsidRPr="00073FA8" w:rsidRDefault="007232FE" w:rsidP="00241498">
      <w:pPr>
        <w:keepNext/>
        <w:ind w:left="-142" w:right="534" w:firstLine="142"/>
        <w:jc w:val="both"/>
        <w:rPr>
          <w:lang w:val="es-DO"/>
        </w:rPr>
      </w:pPr>
      <w:r w:rsidRPr="007232FE">
        <w:rPr>
          <w:noProof/>
          <w:sz w:val="24"/>
          <w:szCs w:val="24"/>
          <w:lang w:val="es-DO"/>
        </w:rPr>
        <w:pict>
          <v:shapetype id="_x0000_t202" coordsize="21600,21600" o:spt="202" path="m,l,21600r21600,l21600,xe">
            <v:stroke joinstyle="miter"/>
            <v:path gradientshapeok="t" o:connecttype="rect"/>
          </v:shapetype>
          <v:shape id="_x0000_s1027" type="#_x0000_t202" style="position:absolute;left:0;text-align:left;margin-left:68.55pt;margin-top:49.1pt;width:343.5pt;height:76.5pt;z-index:251660288;mso-width-relative:margin;mso-height-relative:margin" filled="f" stroked="f">
            <v:textbox style="mso-next-textbox:#_x0000_s1027">
              <w:txbxContent>
                <w:p w:rsidR="003830F1" w:rsidRPr="003830F1" w:rsidRDefault="00241498" w:rsidP="003830F1">
                  <w:pPr>
                    <w:pStyle w:val="Epgrafe"/>
                    <w:spacing w:after="0"/>
                    <w:jc w:val="center"/>
                    <w:rPr>
                      <w:color w:val="595959" w:themeColor="text1" w:themeTint="A6"/>
                      <w:sz w:val="36"/>
                      <w:szCs w:val="36"/>
                    </w:rPr>
                  </w:pPr>
                  <w:r w:rsidRPr="003830F1">
                    <w:rPr>
                      <w:color w:val="595959" w:themeColor="text1" w:themeTint="A6"/>
                      <w:sz w:val="36"/>
                      <w:szCs w:val="36"/>
                    </w:rPr>
                    <w:t>Solicitudes de Información</w:t>
                  </w:r>
                </w:p>
                <w:p w:rsidR="00241498" w:rsidRPr="003830F1" w:rsidRDefault="003830F1" w:rsidP="003830F1">
                  <w:pPr>
                    <w:pStyle w:val="Epgrafe"/>
                    <w:spacing w:after="0"/>
                    <w:jc w:val="center"/>
                    <w:rPr>
                      <w:color w:val="595959" w:themeColor="text1" w:themeTint="A6"/>
                      <w:sz w:val="24"/>
                      <w:szCs w:val="24"/>
                    </w:rPr>
                  </w:pPr>
                  <w:r w:rsidRPr="003830F1">
                    <w:rPr>
                      <w:color w:val="595959" w:themeColor="text1" w:themeTint="A6"/>
                      <w:sz w:val="24"/>
                      <w:szCs w:val="24"/>
                    </w:rPr>
                    <w:t>(</w:t>
                  </w:r>
                  <w:r w:rsidR="00241498" w:rsidRPr="003830F1">
                    <w:rPr>
                      <w:color w:val="595959" w:themeColor="text1" w:themeTint="A6"/>
                      <w:sz w:val="24"/>
                      <w:szCs w:val="24"/>
                    </w:rPr>
                    <w:t>Enero - Diciembre  2017</w:t>
                  </w:r>
                  <w:r w:rsidRPr="003830F1">
                    <w:rPr>
                      <w:color w:val="595959" w:themeColor="text1" w:themeTint="A6"/>
                      <w:sz w:val="24"/>
                      <w:szCs w:val="24"/>
                    </w:rPr>
                    <w:t>)</w:t>
                  </w:r>
                </w:p>
                <w:p w:rsidR="00241498" w:rsidRDefault="00241498"/>
              </w:txbxContent>
            </v:textbox>
          </v:shape>
        </w:pict>
      </w:r>
      <w:r w:rsidR="003830F1" w:rsidRPr="00073FA8">
        <w:rPr>
          <w:noProof/>
          <w:sz w:val="24"/>
          <w:szCs w:val="24"/>
          <w:lang w:val="en-US"/>
        </w:rPr>
        <w:drawing>
          <wp:anchor distT="0" distB="0" distL="114300" distR="114300" simplePos="0" relativeHeight="251661312" behindDoc="0" locked="0" layoutInCell="1" allowOverlap="1">
            <wp:simplePos x="0" y="0"/>
            <wp:positionH relativeFrom="column">
              <wp:posOffset>4852035</wp:posOffset>
            </wp:positionH>
            <wp:positionV relativeFrom="paragraph">
              <wp:posOffset>166370</wp:posOffset>
            </wp:positionV>
            <wp:extent cx="971550" cy="971550"/>
            <wp:effectExtent l="19050" t="0" r="0" b="0"/>
            <wp:wrapNone/>
            <wp:docPr id="11" name="Imagen 1" descr="C:\Documents and Settings\greisy\Escritorio\Victor\logo-fonper-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eisy\Escritorio\Victor\logo-fonper-original.png"/>
                    <pic:cNvPicPr>
                      <a:picLocks noChangeAspect="1" noChangeArrowheads="1"/>
                    </pic:cNvPicPr>
                  </pic:nvPicPr>
                  <pic:blipFill>
                    <a:blip r:embed="rId9" cstate="print"/>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00D16186" w:rsidRPr="00073FA8">
        <w:rPr>
          <w:noProof/>
          <w:sz w:val="24"/>
          <w:szCs w:val="24"/>
          <w:lang w:val="en-US"/>
        </w:rPr>
        <w:drawing>
          <wp:inline distT="0" distB="0" distL="0" distR="0">
            <wp:extent cx="6124575" cy="4724400"/>
            <wp:effectExtent l="57150" t="19050" r="857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1498" w:rsidRPr="00073FA8" w:rsidRDefault="00241498">
      <w:pPr>
        <w:pStyle w:val="Epgrafe"/>
        <w:jc w:val="both"/>
        <w:rPr>
          <w:sz w:val="24"/>
          <w:szCs w:val="24"/>
          <w:lang w:val="es-DO"/>
        </w:rPr>
      </w:pPr>
    </w:p>
    <w:sectPr w:rsidR="00241498" w:rsidRPr="00073FA8" w:rsidSect="00A80952">
      <w:pgSz w:w="11908" w:h="17335"/>
      <w:pgMar w:top="1440" w:right="1080" w:bottom="1440" w:left="1134" w:header="720" w:footer="720" w:gutter="0"/>
      <w:pgBorders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AF8" w:rsidRDefault="00370AF8" w:rsidP="00A4113A">
      <w:pPr>
        <w:spacing w:after="0" w:line="240" w:lineRule="auto"/>
      </w:pPr>
      <w:r>
        <w:separator/>
      </w:r>
    </w:p>
  </w:endnote>
  <w:endnote w:type="continuationSeparator" w:id="0">
    <w:p w:rsidR="00370AF8" w:rsidRDefault="00370AF8" w:rsidP="00A41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AF8" w:rsidRDefault="00370AF8" w:rsidP="00A4113A">
      <w:pPr>
        <w:spacing w:after="0" w:line="240" w:lineRule="auto"/>
      </w:pPr>
      <w:r>
        <w:separator/>
      </w:r>
    </w:p>
  </w:footnote>
  <w:footnote w:type="continuationSeparator" w:id="0">
    <w:p w:rsidR="00370AF8" w:rsidRDefault="00370AF8" w:rsidP="00A411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32CD7"/>
    <w:multiLevelType w:val="hybridMultilevel"/>
    <w:tmpl w:val="00DE8C5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92A72"/>
    <w:rsid w:val="0001101A"/>
    <w:rsid w:val="0001157B"/>
    <w:rsid w:val="0005328D"/>
    <w:rsid w:val="000618DA"/>
    <w:rsid w:val="000733AA"/>
    <w:rsid w:val="00073FA8"/>
    <w:rsid w:val="000C63C8"/>
    <w:rsid w:val="000D2EC8"/>
    <w:rsid w:val="000D470C"/>
    <w:rsid w:val="000D7976"/>
    <w:rsid w:val="0012141C"/>
    <w:rsid w:val="00157A0F"/>
    <w:rsid w:val="00174101"/>
    <w:rsid w:val="001B14B4"/>
    <w:rsid w:val="001F5626"/>
    <w:rsid w:val="00217192"/>
    <w:rsid w:val="00231A6C"/>
    <w:rsid w:val="00240CCF"/>
    <w:rsid w:val="00241498"/>
    <w:rsid w:val="002905B3"/>
    <w:rsid w:val="00313B4C"/>
    <w:rsid w:val="00344E27"/>
    <w:rsid w:val="00356C75"/>
    <w:rsid w:val="003629A4"/>
    <w:rsid w:val="00364886"/>
    <w:rsid w:val="00370908"/>
    <w:rsid w:val="00370AF8"/>
    <w:rsid w:val="003830F1"/>
    <w:rsid w:val="003A2693"/>
    <w:rsid w:val="003B30C5"/>
    <w:rsid w:val="003C45CB"/>
    <w:rsid w:val="003D75C9"/>
    <w:rsid w:val="003E06BC"/>
    <w:rsid w:val="0040663C"/>
    <w:rsid w:val="00417B30"/>
    <w:rsid w:val="00420D73"/>
    <w:rsid w:val="00440759"/>
    <w:rsid w:val="0046495C"/>
    <w:rsid w:val="0046522C"/>
    <w:rsid w:val="00496A17"/>
    <w:rsid w:val="004C3F9E"/>
    <w:rsid w:val="004D685D"/>
    <w:rsid w:val="004F2674"/>
    <w:rsid w:val="004F4251"/>
    <w:rsid w:val="004F7C06"/>
    <w:rsid w:val="005219DD"/>
    <w:rsid w:val="00525BA0"/>
    <w:rsid w:val="00561E42"/>
    <w:rsid w:val="00563FCF"/>
    <w:rsid w:val="00580440"/>
    <w:rsid w:val="005A70DD"/>
    <w:rsid w:val="005B46F9"/>
    <w:rsid w:val="005D4162"/>
    <w:rsid w:val="005E1BED"/>
    <w:rsid w:val="005F2352"/>
    <w:rsid w:val="00630E44"/>
    <w:rsid w:val="00655E23"/>
    <w:rsid w:val="00673DB8"/>
    <w:rsid w:val="006A3A3B"/>
    <w:rsid w:val="006B14FA"/>
    <w:rsid w:val="006C1BF4"/>
    <w:rsid w:val="006C352A"/>
    <w:rsid w:val="006D5CC6"/>
    <w:rsid w:val="007164C9"/>
    <w:rsid w:val="007232FE"/>
    <w:rsid w:val="007707A2"/>
    <w:rsid w:val="00770D70"/>
    <w:rsid w:val="0077750E"/>
    <w:rsid w:val="007805C2"/>
    <w:rsid w:val="007853A1"/>
    <w:rsid w:val="007C10D3"/>
    <w:rsid w:val="00807A52"/>
    <w:rsid w:val="00825A08"/>
    <w:rsid w:val="00834221"/>
    <w:rsid w:val="00855049"/>
    <w:rsid w:val="00867426"/>
    <w:rsid w:val="00876CB3"/>
    <w:rsid w:val="00886671"/>
    <w:rsid w:val="0089626D"/>
    <w:rsid w:val="008A4CA5"/>
    <w:rsid w:val="008C4493"/>
    <w:rsid w:val="008D5BAA"/>
    <w:rsid w:val="008F0005"/>
    <w:rsid w:val="008F7479"/>
    <w:rsid w:val="00913DC1"/>
    <w:rsid w:val="009168B0"/>
    <w:rsid w:val="00984C5F"/>
    <w:rsid w:val="00985D2C"/>
    <w:rsid w:val="009A13A1"/>
    <w:rsid w:val="009E62A0"/>
    <w:rsid w:val="009F3556"/>
    <w:rsid w:val="00A02031"/>
    <w:rsid w:val="00A02127"/>
    <w:rsid w:val="00A1287B"/>
    <w:rsid w:val="00A4113A"/>
    <w:rsid w:val="00A44DE1"/>
    <w:rsid w:val="00A66855"/>
    <w:rsid w:val="00A66B5D"/>
    <w:rsid w:val="00A80952"/>
    <w:rsid w:val="00A86DFD"/>
    <w:rsid w:val="00AD72C0"/>
    <w:rsid w:val="00AF62A3"/>
    <w:rsid w:val="00AF734D"/>
    <w:rsid w:val="00B20372"/>
    <w:rsid w:val="00B30C88"/>
    <w:rsid w:val="00B57B22"/>
    <w:rsid w:val="00B636A1"/>
    <w:rsid w:val="00B749BC"/>
    <w:rsid w:val="00BA3C21"/>
    <w:rsid w:val="00BB0E73"/>
    <w:rsid w:val="00BC4B7F"/>
    <w:rsid w:val="00BC7600"/>
    <w:rsid w:val="00BE1480"/>
    <w:rsid w:val="00BE1508"/>
    <w:rsid w:val="00BE7828"/>
    <w:rsid w:val="00C05B7A"/>
    <w:rsid w:val="00C26FE1"/>
    <w:rsid w:val="00C3005F"/>
    <w:rsid w:val="00C31696"/>
    <w:rsid w:val="00C47425"/>
    <w:rsid w:val="00C650D3"/>
    <w:rsid w:val="00CA5437"/>
    <w:rsid w:val="00CC7AF2"/>
    <w:rsid w:val="00CD684A"/>
    <w:rsid w:val="00CF7567"/>
    <w:rsid w:val="00D071E4"/>
    <w:rsid w:val="00D16186"/>
    <w:rsid w:val="00D27D77"/>
    <w:rsid w:val="00D3167C"/>
    <w:rsid w:val="00D464C3"/>
    <w:rsid w:val="00D63276"/>
    <w:rsid w:val="00D67DE8"/>
    <w:rsid w:val="00D8200E"/>
    <w:rsid w:val="00D858B7"/>
    <w:rsid w:val="00D90568"/>
    <w:rsid w:val="00D97864"/>
    <w:rsid w:val="00DF395A"/>
    <w:rsid w:val="00E0113C"/>
    <w:rsid w:val="00E02968"/>
    <w:rsid w:val="00E06070"/>
    <w:rsid w:val="00E4307F"/>
    <w:rsid w:val="00E92A72"/>
    <w:rsid w:val="00EB58F6"/>
    <w:rsid w:val="00EC2C03"/>
    <w:rsid w:val="00EE2004"/>
    <w:rsid w:val="00F10FB8"/>
    <w:rsid w:val="00F15FFF"/>
    <w:rsid w:val="00F164F9"/>
    <w:rsid w:val="00F21444"/>
    <w:rsid w:val="00F43D9A"/>
    <w:rsid w:val="00F5105A"/>
    <w:rsid w:val="00F64306"/>
    <w:rsid w:val="00F65A9C"/>
    <w:rsid w:val="00F852FD"/>
    <w:rsid w:val="00FD251F"/>
    <w:rsid w:val="00FD38D6"/>
    <w:rsid w:val="00FE17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92A7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E92A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2A72"/>
    <w:rPr>
      <w:rFonts w:ascii="Tahoma" w:hAnsi="Tahoma" w:cs="Tahoma"/>
      <w:sz w:val="16"/>
      <w:szCs w:val="16"/>
    </w:rPr>
  </w:style>
  <w:style w:type="paragraph" w:styleId="Encabezado">
    <w:name w:val="header"/>
    <w:basedOn w:val="Normal"/>
    <w:link w:val="EncabezadoCar"/>
    <w:uiPriority w:val="99"/>
    <w:semiHidden/>
    <w:unhideWhenUsed/>
    <w:rsid w:val="00A411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4113A"/>
  </w:style>
  <w:style w:type="paragraph" w:styleId="Piedepgina">
    <w:name w:val="footer"/>
    <w:basedOn w:val="Normal"/>
    <w:link w:val="PiedepginaCar"/>
    <w:uiPriority w:val="99"/>
    <w:semiHidden/>
    <w:unhideWhenUsed/>
    <w:rsid w:val="00A411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4113A"/>
  </w:style>
  <w:style w:type="paragraph" w:styleId="Epgrafe">
    <w:name w:val="caption"/>
    <w:basedOn w:val="Normal"/>
    <w:next w:val="Normal"/>
    <w:uiPriority w:val="35"/>
    <w:unhideWhenUsed/>
    <w:qFormat/>
    <w:rsid w:val="00241498"/>
    <w:pPr>
      <w:spacing w:line="240" w:lineRule="auto"/>
    </w:pPr>
    <w:rPr>
      <w:b/>
      <w:bCs/>
      <w:color w:val="4F81BD" w:themeColor="accent1"/>
      <w:sz w:val="18"/>
      <w:szCs w:val="18"/>
    </w:rPr>
  </w:style>
  <w:style w:type="table" w:styleId="Sombreadoclaro-nfasis5">
    <w:name w:val="Light Shading Accent 5"/>
    <w:basedOn w:val="Tablanormal"/>
    <w:uiPriority w:val="60"/>
    <w:rsid w:val="00BA3C2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BA3C2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staclara-nfasis5">
    <w:name w:val="Light List Accent 5"/>
    <w:basedOn w:val="Tablanormal"/>
    <w:uiPriority w:val="61"/>
    <w:rsid w:val="00BA3C2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3">
    <w:name w:val="Light List Accent 3"/>
    <w:basedOn w:val="Tablanormal"/>
    <w:uiPriority w:val="61"/>
    <w:rsid w:val="00BA3C2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14000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5"/>
  <c:chart>
    <c:title>
      <c:tx>
        <c:rich>
          <a:bodyPr/>
          <a:lstStyle/>
          <a:p>
            <a:pPr>
              <a:defRPr lang="es-ES"/>
            </a:pPr>
            <a:r>
              <a:rPr lang="en-US" sz="800" b="0"/>
              <a:t>No. de Solicitudes</a:t>
            </a:r>
          </a:p>
        </c:rich>
      </c:tx>
      <c:layout>
        <c:manualLayout>
          <c:xMode val="edge"/>
          <c:yMode val="edge"/>
          <c:x val="1.157407407407408E-2"/>
          <c:y val="0.26499052649093674"/>
        </c:manualLayout>
      </c:layout>
    </c:title>
    <c:view3D>
      <c:depthPercent val="100"/>
      <c:rAngAx val="1"/>
    </c:view3D>
    <c:floor>
      <c:spPr>
        <a:solidFill>
          <a:sysClr val="window" lastClr="FFFFFF">
            <a:lumMod val="95000"/>
            <a:alpha val="50000"/>
          </a:sysClr>
        </a:solidFill>
      </c:spPr>
    </c:floor>
    <c:sideWall>
      <c:spPr>
        <a:noFill/>
      </c:spPr>
    </c:sideWall>
    <c:backWall>
      <c:spPr>
        <a:noFill/>
      </c:spPr>
    </c:backWall>
    <c:plotArea>
      <c:layout>
        <c:manualLayout>
          <c:layoutTarget val="inner"/>
          <c:xMode val="edge"/>
          <c:yMode val="edge"/>
          <c:x val="7.6251822688830545E-2"/>
          <c:y val="0.14363862411935338"/>
          <c:w val="0.83645450568678914"/>
          <c:h val="0.68169732787978521"/>
        </c:manualLayout>
      </c:layout>
      <c:bar3DChart>
        <c:barDir val="col"/>
        <c:grouping val="standard"/>
        <c:ser>
          <c:idx val="0"/>
          <c:order val="0"/>
          <c:tx>
            <c:strRef>
              <c:f>Hoja1!$B$1</c:f>
              <c:strCache>
                <c:ptCount val="1"/>
                <c:pt idx="0">
                  <c:v>Mes</c:v>
                </c:pt>
              </c:strCache>
            </c:strRef>
          </c:tx>
          <c:spPr>
            <a:solidFill>
              <a:schemeClr val="accent3">
                <a:lumMod val="75000"/>
              </a:schemeClr>
            </a:solidFill>
            <a:ln>
              <a:noFill/>
            </a:ln>
            <a:scene3d>
              <a:camera prst="orthographicFront"/>
              <a:lightRig rig="threePt" dir="t"/>
            </a:scene3d>
            <a:sp3d prstMaterial="plastic">
              <a:contourClr>
                <a:srgbClr val="000000"/>
              </a:contourClr>
            </a:sp3d>
          </c:spPr>
          <c:cat>
            <c:strRef>
              <c:f>Hoja1!$A$2:$A$13</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1</c:v>
                </c:pt>
                <c:pt idx="1">
                  <c:v>2</c:v>
                </c:pt>
                <c:pt idx="2">
                  <c:v>0</c:v>
                </c:pt>
                <c:pt idx="3">
                  <c:v>0</c:v>
                </c:pt>
                <c:pt idx="4">
                  <c:v>2</c:v>
                </c:pt>
                <c:pt idx="5">
                  <c:v>1</c:v>
                </c:pt>
                <c:pt idx="6">
                  <c:v>2</c:v>
                </c:pt>
                <c:pt idx="7">
                  <c:v>1</c:v>
                </c:pt>
                <c:pt idx="8">
                  <c:v>0</c:v>
                </c:pt>
                <c:pt idx="9">
                  <c:v>1</c:v>
                </c:pt>
                <c:pt idx="10">
                  <c:v>2</c:v>
                </c:pt>
                <c:pt idx="11">
                  <c:v>1</c:v>
                </c:pt>
              </c:numCache>
            </c:numRef>
          </c:val>
        </c:ser>
        <c:shape val="cylinder"/>
        <c:axId val="96156288"/>
        <c:axId val="99169024"/>
        <c:axId val="94119680"/>
      </c:bar3DChart>
      <c:catAx>
        <c:axId val="96156288"/>
        <c:scaling>
          <c:orientation val="minMax"/>
        </c:scaling>
        <c:axPos val="b"/>
        <c:tickLblPos val="nextTo"/>
        <c:txPr>
          <a:bodyPr/>
          <a:lstStyle/>
          <a:p>
            <a:pPr>
              <a:defRPr lang="es-ES" b="0">
                <a:solidFill>
                  <a:schemeClr val="tx1">
                    <a:lumMod val="85000"/>
                    <a:lumOff val="15000"/>
                  </a:schemeClr>
                </a:solidFill>
              </a:defRPr>
            </a:pPr>
            <a:endParaRPr lang="en-US"/>
          </a:p>
        </c:txPr>
        <c:crossAx val="99169024"/>
        <c:crosses val="autoZero"/>
        <c:auto val="1"/>
        <c:lblAlgn val="ctr"/>
        <c:lblOffset val="100"/>
      </c:catAx>
      <c:valAx>
        <c:axId val="99169024"/>
        <c:scaling>
          <c:orientation val="minMax"/>
        </c:scaling>
        <c:axPos val="l"/>
        <c:majorGridlines>
          <c:spPr>
            <a:ln>
              <a:solidFill>
                <a:schemeClr val="tx2">
                  <a:lumMod val="60000"/>
                  <a:lumOff val="40000"/>
                </a:schemeClr>
              </a:solidFill>
            </a:ln>
          </c:spPr>
        </c:majorGridlines>
        <c:numFmt formatCode="#,##0.0" sourceLinked="0"/>
        <c:tickLblPos val="nextTo"/>
        <c:spPr>
          <a:noFill/>
        </c:spPr>
        <c:txPr>
          <a:bodyPr/>
          <a:lstStyle/>
          <a:p>
            <a:pPr>
              <a:defRPr lang="es-ES"/>
            </a:pPr>
            <a:endParaRPr lang="en-US"/>
          </a:p>
        </c:txPr>
        <c:crossAx val="96156288"/>
        <c:crosses val="autoZero"/>
        <c:crossBetween val="between"/>
      </c:valAx>
      <c:serAx>
        <c:axId val="94119680"/>
        <c:scaling>
          <c:orientation val="minMax"/>
        </c:scaling>
        <c:axPos val="b"/>
        <c:tickLblPos val="nextTo"/>
        <c:txPr>
          <a:bodyPr/>
          <a:lstStyle/>
          <a:p>
            <a:pPr>
              <a:defRPr lang="es-ES"/>
            </a:pPr>
            <a:endParaRPr lang="en-US"/>
          </a:p>
        </c:txPr>
        <c:crossAx val="99169024"/>
        <c:crosses val="autoZero"/>
      </c:serAx>
    </c:plotArea>
    <c:plotVisOnly val="1"/>
  </c:chart>
  <c:spPr>
    <a:gradFill flip="none" rotWithShape="1">
      <a:gsLst>
        <a:gs pos="100000">
          <a:srgbClr val="5E9EFF">
            <a:alpha val="0"/>
          </a:srgbClr>
        </a:gs>
        <a:gs pos="39999">
          <a:srgbClr val="85C2FF"/>
        </a:gs>
        <a:gs pos="70000">
          <a:srgbClr val="C4D6EB"/>
        </a:gs>
        <a:gs pos="100000">
          <a:srgbClr val="FFEBFA"/>
        </a:gs>
      </a:gsLst>
      <a:lin ang="5400000" scaled="1"/>
      <a:tileRect/>
    </a:gradFill>
    <a:effectLst>
      <a:outerShdw blurRad="50800" dist="38100" dir="2700000" algn="tl" rotWithShape="0">
        <a:prstClr val="black">
          <a:alpha val="40000"/>
        </a:prstClr>
      </a:outerShdw>
    </a:effectLst>
    <a:scene3d>
      <a:camera prst="orthographicFront"/>
      <a:lightRig rig="threePt" dir="t"/>
    </a:scene3d>
    <a:sp3d prstMaterial="translucentPowder">
      <a:bevelT/>
      <a:bevelB w="165100" prst="coolSlant"/>
    </a:sp3d>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A511-719E-4F63-AFDC-E75962FF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543</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fonper</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greisy</dc:creator>
  <cp:lastModifiedBy>Victor Hilario</cp:lastModifiedBy>
  <cp:revision>2</cp:revision>
  <dcterms:created xsi:type="dcterms:W3CDTF">2018-01-16T12:56:00Z</dcterms:created>
  <dcterms:modified xsi:type="dcterms:W3CDTF">2018-01-16T12:56:00Z</dcterms:modified>
</cp:coreProperties>
</file>